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E817F" w14:textId="77777777" w:rsidR="00000000" w:rsidRPr="00DB403C" w:rsidRDefault="00000C86" w:rsidP="00DB403C">
      <w:pPr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</w:rPr>
        <w:object w:dxaOrig="1549" w:dyaOrig="1536" w14:anchorId="30C10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0.2pt" o:ole="" filled="t">
            <v:fill color2="black"/>
            <v:imagedata r:id="rId5" o:title=""/>
          </v:shape>
          <o:OLEObject Type="Embed" ProgID="Word.Picture.8" ShapeID="_x0000_i1025" DrawAspect="Content" ObjectID="_1672464468" r:id="rId6"/>
        </w:object>
      </w:r>
    </w:p>
    <w:p w14:paraId="7C1AB502" w14:textId="77777777" w:rsidR="00000000" w:rsidRPr="00DB403C" w:rsidRDefault="00000C86" w:rsidP="00DB403C">
      <w:pPr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 xml:space="preserve">ΕΛΛΗΝΙΚΗ ΔΗΜΟΚΡΑΤΙΑ                      </w:t>
      </w:r>
    </w:p>
    <w:p w14:paraId="279EFFB2" w14:textId="77777777" w:rsidR="00000000" w:rsidRPr="00DB403C" w:rsidRDefault="00000C86" w:rsidP="00DB403C">
      <w:pPr>
        <w:rPr>
          <w:bCs/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>Ε</w:t>
      </w:r>
      <w:r w:rsidRPr="00DB403C">
        <w:rPr>
          <w:bCs/>
          <w:color w:val="000000" w:themeColor="text1"/>
          <w:sz w:val="28"/>
          <w:szCs w:val="28"/>
        </w:rPr>
        <w:t>ΙΡΗΝΟΔΙΚΕΙΟ ΙΩΑΝΝΙΝΩΝ</w:t>
      </w:r>
    </w:p>
    <w:p w14:paraId="19C40DC8" w14:textId="77777777" w:rsidR="00000000" w:rsidRPr="00DB403C" w:rsidRDefault="00000C86" w:rsidP="00DB403C">
      <w:pPr>
        <w:rPr>
          <w:bCs/>
          <w:color w:val="000000" w:themeColor="text1"/>
          <w:sz w:val="28"/>
          <w:szCs w:val="28"/>
        </w:rPr>
      </w:pPr>
    </w:p>
    <w:p w14:paraId="11517B64" w14:textId="40351925" w:rsidR="00000000" w:rsidRPr="00FB1845" w:rsidRDefault="00000C86" w:rsidP="00DB403C">
      <w:pPr>
        <w:jc w:val="center"/>
        <w:rPr>
          <w:b/>
          <w:color w:val="000000" w:themeColor="text1"/>
          <w:sz w:val="26"/>
          <w:szCs w:val="26"/>
        </w:rPr>
      </w:pPr>
      <w:proofErr w:type="spellStart"/>
      <w:r w:rsidRPr="00FB1845">
        <w:rPr>
          <w:b/>
          <w:color w:val="000000" w:themeColor="text1"/>
          <w:sz w:val="26"/>
          <w:szCs w:val="26"/>
        </w:rPr>
        <w:t>Αριθμ</w:t>
      </w:r>
      <w:proofErr w:type="spellEnd"/>
      <w:r w:rsidRPr="00FB1845">
        <w:rPr>
          <w:b/>
          <w:color w:val="000000" w:themeColor="text1"/>
          <w:sz w:val="26"/>
          <w:szCs w:val="26"/>
        </w:rPr>
        <w:t>.</w:t>
      </w:r>
      <w:r w:rsidRPr="00FB1845">
        <w:rPr>
          <w:b/>
          <w:color w:val="000000" w:themeColor="text1"/>
          <w:sz w:val="26"/>
          <w:szCs w:val="26"/>
        </w:rPr>
        <w:t xml:space="preserve"> </w:t>
      </w:r>
      <w:r w:rsidRPr="00FB1845">
        <w:rPr>
          <w:b/>
          <w:color w:val="000000" w:themeColor="text1"/>
          <w:sz w:val="26"/>
          <w:szCs w:val="26"/>
        </w:rPr>
        <w:t>10</w:t>
      </w:r>
      <w:r w:rsidRPr="00FB1845">
        <w:rPr>
          <w:b/>
          <w:color w:val="000000" w:themeColor="text1"/>
          <w:sz w:val="26"/>
          <w:szCs w:val="26"/>
        </w:rPr>
        <w:t xml:space="preserve"> /2021 πράξης της</w:t>
      </w:r>
      <w:r w:rsidRPr="00FB1845">
        <w:rPr>
          <w:b/>
          <w:color w:val="000000" w:themeColor="text1"/>
          <w:sz w:val="26"/>
          <w:szCs w:val="26"/>
        </w:rPr>
        <w:t xml:space="preserve"> </w:t>
      </w:r>
      <w:r w:rsidRPr="00FB1845">
        <w:rPr>
          <w:b/>
          <w:color w:val="000000" w:themeColor="text1"/>
          <w:sz w:val="26"/>
          <w:szCs w:val="26"/>
        </w:rPr>
        <w:t>Διευθύνουσας το Ειρηνοδικείο Ιωαννίνων</w:t>
      </w:r>
    </w:p>
    <w:p w14:paraId="7DF7549C" w14:textId="77777777" w:rsidR="00000000" w:rsidRPr="00DB403C" w:rsidRDefault="00000C86" w:rsidP="00DB403C">
      <w:pPr>
        <w:rPr>
          <w:color w:val="000000" w:themeColor="text1"/>
          <w:sz w:val="28"/>
          <w:szCs w:val="28"/>
        </w:rPr>
      </w:pPr>
      <w:r w:rsidRPr="00DB403C">
        <w:rPr>
          <w:bCs/>
          <w:color w:val="000000" w:themeColor="text1"/>
          <w:sz w:val="28"/>
          <w:szCs w:val="28"/>
        </w:rPr>
        <w:t xml:space="preserve"> </w:t>
      </w:r>
    </w:p>
    <w:p w14:paraId="1475E819" w14:textId="77777777" w:rsidR="00000000" w:rsidRPr="00DB403C" w:rsidRDefault="00000C86" w:rsidP="00DB403C">
      <w:pPr>
        <w:jc w:val="center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>Η Διευθύνουσα το Ειρηνοδικείο Ιωαννίνων</w:t>
      </w:r>
    </w:p>
    <w:p w14:paraId="0A55D1A4" w14:textId="77777777" w:rsidR="00000000" w:rsidRPr="00DB403C" w:rsidRDefault="00000C86" w:rsidP="00DB403C">
      <w:pPr>
        <w:jc w:val="center"/>
        <w:rPr>
          <w:color w:val="000000" w:themeColor="text1"/>
          <w:sz w:val="28"/>
          <w:szCs w:val="28"/>
        </w:rPr>
      </w:pPr>
    </w:p>
    <w:p w14:paraId="195829CB" w14:textId="3F075E59" w:rsidR="00000000" w:rsidRPr="00DB403C" w:rsidRDefault="00000C86" w:rsidP="00DB403C">
      <w:pPr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>Αφού έλαβε υπόψη το άρθρο 1  ΑΑ/4 τη</w:t>
      </w:r>
      <w:r w:rsidRPr="00DB403C">
        <w:rPr>
          <w:color w:val="000000" w:themeColor="text1"/>
          <w:sz w:val="28"/>
          <w:szCs w:val="28"/>
        </w:rPr>
        <w:t xml:space="preserve">ς Δια/Γ.Π.οικ.3060 (ΦΕΚ τ. Β 89/ 16-1-2021) ΚΥΑ των Υπουργών </w:t>
      </w:r>
      <w:r w:rsidRPr="00DB403C">
        <w:rPr>
          <w:color w:val="000000" w:themeColor="text1"/>
          <w:sz w:val="28"/>
          <w:szCs w:val="28"/>
        </w:rPr>
        <w:t>ΟΙΚΟΝΟΜΙΚΩΝ – ΑΝΑΠΤΥΞΗΣ ΚΑΙ ΕΠΕΝΔΥΣΕΩΝ - ΠΡΟΣΤΑΣΙΑΣ ΤΟΥ ΠΟΛΙΤΗ -ΕΘΝΙΚΗΣ ΑΜΥΝΑΣ – ΠΑΙΔΕΙΑΣ ΚΑΙ ΘΡΗΣΚΕΥΜΑΤΩΝ – ΕΡΓΑΣΙΑΣ ΚΑΙ ΚΟΙΝΩΝΙΚΩΝ ΥΠΟΘΕΣΕΩΝ -ΥΓΕΙΑΣ - ΠΕΡΙΒΑΛΛΟΝΤΟΣ ΚΑΙ ΕΝΕΡΓΕΙΑΣ -ΠΟΛΙΤΙΣΜΟΥ ΚΑ</w:t>
      </w:r>
      <w:r w:rsidRPr="00DB403C">
        <w:rPr>
          <w:color w:val="000000" w:themeColor="text1"/>
          <w:sz w:val="28"/>
          <w:szCs w:val="28"/>
        </w:rPr>
        <w:t xml:space="preserve">Ι ΑΘΛΗΤΙΣΜΟΥ -ΔΙΚΑΙΟΣΥΝΗΣ - ΕΣΩΤΕΡΙΚΩΝ -ΜΕΤΑΝΑΣΤΕΥΣΗΣ ΚΑΙ ΑΣΥΛΟΥ -ΥΠΟΔΟΜΩΝ ΚΑΙ ΜΕΤΑΦΟΡΩΝ -ΝΑΥΤΙΛΙΑΣ ΚΑΙ ΝΗΣΙΩΤΙΚΗΣ ΠΟΛΙΤΙΚΗΣ-ΑΓΡΟΙΚΗΣ ΑΝΑΠΤΥΞΗΣ ΚΑΙ ΤΡΟΦΙΜΩΝ , </w:t>
      </w:r>
      <w:r w:rsidRPr="00DB403C">
        <w:rPr>
          <w:color w:val="000000" w:themeColor="text1"/>
          <w:sz w:val="28"/>
          <w:szCs w:val="28"/>
        </w:rPr>
        <w:t xml:space="preserve">με τίτλο  «Έκτακτα μέτρα προστασίας της δημόσιας υγείας από τον κίνδυνο περαιτέρω διασποράς του </w:t>
      </w:r>
      <w:proofErr w:type="spellStart"/>
      <w:r w:rsidRPr="00DB403C">
        <w:rPr>
          <w:color w:val="000000" w:themeColor="text1"/>
          <w:sz w:val="28"/>
          <w:szCs w:val="28"/>
        </w:rPr>
        <w:t>κ</w:t>
      </w:r>
      <w:r w:rsidRPr="00DB403C">
        <w:rPr>
          <w:color w:val="000000" w:themeColor="text1"/>
          <w:sz w:val="28"/>
          <w:szCs w:val="28"/>
        </w:rPr>
        <w:t>ορωνοϊού</w:t>
      </w:r>
      <w:proofErr w:type="spellEnd"/>
      <w:r w:rsidRPr="00DB403C">
        <w:rPr>
          <w:color w:val="000000" w:themeColor="text1"/>
          <w:sz w:val="28"/>
          <w:szCs w:val="28"/>
        </w:rPr>
        <w:t xml:space="preserve"> COVID-19 στο σύνολο της Επικράτειας για το διάστημα </w:t>
      </w:r>
      <w:r w:rsidRPr="00DB403C">
        <w:rPr>
          <w:b/>
          <w:bCs/>
          <w:color w:val="000000" w:themeColor="text1"/>
          <w:sz w:val="28"/>
          <w:szCs w:val="28"/>
        </w:rPr>
        <w:t>από τη Δευτέρα 18 Ιανουαρίου 2021 και ώρα 6:00 έως και τη Δευτέρα 25 Ιανουαρίου 2021 και ώρα 6:00</w:t>
      </w:r>
      <w:r w:rsidRPr="00DB403C">
        <w:rPr>
          <w:color w:val="000000" w:themeColor="text1"/>
          <w:sz w:val="28"/>
          <w:szCs w:val="28"/>
        </w:rPr>
        <w:t xml:space="preserve">» ,  </w:t>
      </w:r>
      <w:r w:rsidRPr="00DB403C">
        <w:rPr>
          <w:rStyle w:val="a4"/>
          <w:b w:val="0"/>
          <w:bCs w:val="0"/>
          <w:color w:val="000000" w:themeColor="text1"/>
          <w:sz w:val="28"/>
          <w:szCs w:val="28"/>
        </w:rPr>
        <w:t xml:space="preserve">ορίζουμε ότι η λειτουργία του Ειρηνοδικείου Ιωαννίνων, για το διάστημα αυτό, </w:t>
      </w:r>
      <w:r w:rsidRPr="00DB403C">
        <w:rPr>
          <w:rStyle w:val="a4"/>
          <w:color w:val="000000" w:themeColor="text1"/>
          <w:sz w:val="28"/>
          <w:szCs w:val="28"/>
        </w:rPr>
        <w:t>θα γίνεται, όπω</w:t>
      </w:r>
      <w:r w:rsidRPr="00DB403C">
        <w:rPr>
          <w:rStyle w:val="a4"/>
          <w:color w:val="000000" w:themeColor="text1"/>
          <w:sz w:val="28"/>
          <w:szCs w:val="28"/>
        </w:rPr>
        <w:t>ς ορίζεται στις με αριθμό 69/30-11-2020 και 4/11-1-2021 πράξεις μας</w:t>
      </w:r>
      <w:r w:rsidRPr="00DB403C">
        <w:rPr>
          <w:rStyle w:val="a4"/>
          <w:b w:val="0"/>
          <w:bCs w:val="0"/>
          <w:color w:val="000000" w:themeColor="text1"/>
          <w:sz w:val="28"/>
          <w:szCs w:val="28"/>
        </w:rPr>
        <w:t>. Επιπρόσθετα ορίζουμε ότι</w:t>
      </w:r>
      <w:r w:rsidR="00A25E3F" w:rsidRPr="00DB403C">
        <w:rPr>
          <w:rStyle w:val="a4"/>
          <w:b w:val="0"/>
          <w:bCs w:val="0"/>
          <w:color w:val="000000" w:themeColor="text1"/>
          <w:sz w:val="28"/>
          <w:szCs w:val="28"/>
        </w:rPr>
        <w:t xml:space="preserve"> </w:t>
      </w:r>
      <w:r w:rsidRPr="00DB403C">
        <w:rPr>
          <w:rStyle w:val="a4"/>
          <w:b w:val="0"/>
          <w:bCs w:val="0"/>
          <w:color w:val="000000" w:themeColor="text1"/>
          <w:sz w:val="28"/>
          <w:szCs w:val="28"/>
        </w:rPr>
        <w:t xml:space="preserve">: </w:t>
      </w:r>
    </w:p>
    <w:p w14:paraId="66480079" w14:textId="77777777" w:rsidR="00000000" w:rsidRPr="00DB403C" w:rsidRDefault="00000C86" w:rsidP="00DB403C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DB403C">
        <w:rPr>
          <w:rStyle w:val="a4"/>
          <w:b w:val="0"/>
          <w:bCs w:val="0"/>
          <w:color w:val="000000" w:themeColor="text1"/>
          <w:sz w:val="28"/>
          <w:szCs w:val="28"/>
        </w:rPr>
        <w:t>Εκδικάζονται οι</w:t>
      </w:r>
      <w:r w:rsidRPr="00DB403C">
        <w:rPr>
          <w:color w:val="000000" w:themeColor="text1"/>
          <w:sz w:val="28"/>
          <w:szCs w:val="28"/>
        </w:rPr>
        <w:t xml:space="preserve"> δίκες ασφαλιστικών μέτρων, στις οποίες δεν εξετάζονται μάρτυρες, με τη δυνατότητα προσκόμισης ενόρκων βεβαιώσεων. Κατ’ εξαίρεση, αποκλειστικά κα</w:t>
      </w:r>
      <w:r w:rsidRPr="00DB403C">
        <w:rPr>
          <w:color w:val="000000" w:themeColor="text1"/>
          <w:sz w:val="28"/>
          <w:szCs w:val="28"/>
        </w:rPr>
        <w:t>ι μόνο στις δίκες ασφαλιστικών μέτρων, που έχουν ως αντικείμενο εγγυοδοσία, εγγραφή ή εξάλειψη ή μεταρρύθμιση προσημείωσης υποθήκης, συντηρητική κατάσχεση κινητής ή ακίνητης περιουσίας, δικαστική μεσεγγύηση, σφράγιση, αποσφράγιση, απογραφή και δημόσια κατά</w:t>
      </w:r>
      <w:r w:rsidRPr="00DB403C">
        <w:rPr>
          <w:color w:val="000000" w:themeColor="text1"/>
          <w:sz w:val="28"/>
          <w:szCs w:val="28"/>
        </w:rPr>
        <w:t xml:space="preserve">θεση κατά τα άρθρα 737, 768 </w:t>
      </w:r>
      <w:proofErr w:type="spellStart"/>
      <w:r w:rsidRPr="00DB403C">
        <w:rPr>
          <w:color w:val="000000" w:themeColor="text1"/>
          <w:sz w:val="28"/>
          <w:szCs w:val="28"/>
        </w:rPr>
        <w:t>ΚΠολΔ</w:t>
      </w:r>
      <w:proofErr w:type="spellEnd"/>
      <w:r w:rsidRPr="00DB403C">
        <w:rPr>
          <w:color w:val="000000" w:themeColor="text1"/>
          <w:sz w:val="28"/>
          <w:szCs w:val="28"/>
        </w:rPr>
        <w:t xml:space="preserve">, ευρωπαϊκή διαταγή δέσμευσης λογαριασμού κατά το άρθρο 738 Α </w:t>
      </w:r>
      <w:proofErr w:type="spellStart"/>
      <w:r w:rsidRPr="00DB403C">
        <w:rPr>
          <w:color w:val="000000" w:themeColor="text1"/>
          <w:sz w:val="28"/>
          <w:szCs w:val="28"/>
        </w:rPr>
        <w:t>ΚΠολΔ</w:t>
      </w:r>
      <w:proofErr w:type="spellEnd"/>
      <w:r w:rsidRPr="00DB403C">
        <w:rPr>
          <w:color w:val="000000" w:themeColor="text1"/>
          <w:sz w:val="28"/>
          <w:szCs w:val="28"/>
        </w:rPr>
        <w:t xml:space="preserve">, τις ανακλήσεις αυτών, καθώς και τις σχετικές με αυτές διαφορές του άρθρου 702 </w:t>
      </w:r>
      <w:proofErr w:type="spellStart"/>
      <w:r w:rsidRPr="00DB403C">
        <w:rPr>
          <w:color w:val="000000" w:themeColor="text1"/>
          <w:sz w:val="28"/>
          <w:szCs w:val="28"/>
        </w:rPr>
        <w:t>ΚΠολΔ</w:t>
      </w:r>
      <w:proofErr w:type="spellEnd"/>
      <w:r w:rsidRPr="00DB403C">
        <w:rPr>
          <w:color w:val="000000" w:themeColor="text1"/>
          <w:sz w:val="28"/>
          <w:szCs w:val="28"/>
        </w:rPr>
        <w:t xml:space="preserve">, δύνανται να εξετάζονται μάρτυρες στο ακροατήριο. Επισημαίνεται ότι η </w:t>
      </w:r>
      <w:r w:rsidRPr="00DB403C">
        <w:rPr>
          <w:color w:val="000000" w:themeColor="text1"/>
          <w:sz w:val="28"/>
          <w:szCs w:val="28"/>
        </w:rPr>
        <w:t xml:space="preserve">συζήτηση των αιτήσεων με αντικείμενο συναινετική εγγραφή, ανάκληση, εξάλειψη και μεταρρύθμιση προσημείωσης υποθήκης θα γίνεται σύμφωνα με όσα ορίζονται στο άρθρο 161 του Ν. 4764/2020 (ΦΕΚ 256/2020, τ. Α΄). </w:t>
      </w:r>
    </w:p>
    <w:p w14:paraId="734716D8" w14:textId="77777777" w:rsidR="00000000" w:rsidRPr="00DB403C" w:rsidRDefault="00000C86" w:rsidP="00DB403C">
      <w:pPr>
        <w:numPr>
          <w:ilvl w:val="0"/>
          <w:numId w:val="2"/>
        </w:numPr>
        <w:ind w:left="360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>Εκδικάζονται οι δίκες εκούσιας δικαιοδοσίας, καθώ</w:t>
      </w:r>
      <w:r w:rsidRPr="00DB403C">
        <w:rPr>
          <w:color w:val="000000" w:themeColor="text1"/>
          <w:sz w:val="28"/>
          <w:szCs w:val="28"/>
        </w:rPr>
        <w:t xml:space="preserve">ς επίσης και υποθέσεις , που αφορούν σε ειδικούς νόμους και εκδικάζονται με τη </w:t>
      </w:r>
      <w:r w:rsidRPr="00DB403C">
        <w:rPr>
          <w:color w:val="000000" w:themeColor="text1"/>
          <w:sz w:val="28"/>
          <w:szCs w:val="28"/>
        </w:rPr>
        <w:lastRenderedPageBreak/>
        <w:t>διαδικασία της εκούσιας δικαιοδοσίας, όπως  και υποθέσεις του άρθρ. 1 του Ν. 4745/2020 (ΦΕΚ 214, τ. Α΄), στις οποίες δεν εξετάζονται μάρτυρες, με τη δυνατότητα προσκόμισης ενόρκ</w:t>
      </w:r>
      <w:r w:rsidRPr="00DB403C">
        <w:rPr>
          <w:color w:val="000000" w:themeColor="text1"/>
          <w:sz w:val="28"/>
          <w:szCs w:val="28"/>
        </w:rPr>
        <w:t xml:space="preserve">ων βεβαιώσεων. Ειδικά και κατ’ εξαίρεση στις δίκες εκούσιας δικαιοδοσίας, που έχουν ως αντικείμενο την κήρυξη ιδιόγραφης διαθήκης ως κυρίας (άρθρ. 803 παρ. 3 </w:t>
      </w:r>
      <w:proofErr w:type="spellStart"/>
      <w:r w:rsidRPr="00DB403C">
        <w:rPr>
          <w:color w:val="000000" w:themeColor="text1"/>
          <w:sz w:val="28"/>
          <w:szCs w:val="28"/>
        </w:rPr>
        <w:t>ΚΠολΔ</w:t>
      </w:r>
      <w:proofErr w:type="spellEnd"/>
      <w:r w:rsidRPr="00DB403C">
        <w:rPr>
          <w:color w:val="000000" w:themeColor="text1"/>
          <w:sz w:val="28"/>
          <w:szCs w:val="28"/>
        </w:rPr>
        <w:t xml:space="preserve">) , δύνανται να εξετάζονται μάρτυρες στο ακροατήριο. </w:t>
      </w:r>
    </w:p>
    <w:p w14:paraId="09444419" w14:textId="77777777" w:rsidR="00000000" w:rsidRPr="00DB403C" w:rsidRDefault="00000C86" w:rsidP="00DB403C">
      <w:pPr>
        <w:ind w:left="360"/>
        <w:jc w:val="both"/>
        <w:rPr>
          <w:color w:val="000000" w:themeColor="text1"/>
          <w:sz w:val="28"/>
          <w:szCs w:val="28"/>
        </w:rPr>
      </w:pPr>
      <w:r w:rsidRPr="00DB403C">
        <w:rPr>
          <w:rStyle w:val="a4"/>
          <w:b w:val="0"/>
          <w:bCs w:val="0"/>
          <w:color w:val="000000" w:themeColor="text1"/>
          <w:sz w:val="28"/>
          <w:szCs w:val="28"/>
        </w:rPr>
        <w:t>Στις παραπάνω περιπτώσεις, πλην της περ</w:t>
      </w:r>
      <w:r w:rsidRPr="00DB403C">
        <w:rPr>
          <w:rStyle w:val="a4"/>
          <w:b w:val="0"/>
          <w:bCs w:val="0"/>
          <w:color w:val="000000" w:themeColor="text1"/>
          <w:sz w:val="28"/>
          <w:szCs w:val="28"/>
        </w:rPr>
        <w:t>ίπτωσης της  κήρυξης της ιδιόγραφης διαθήκης ως κυρίας, λαμβάνει χώρα μέχρι την 12.00 ώρα της προηγούμενης εργάσιμης ημέρας της δικασίμου, έγγραφη δήλωση των πληρεξούσιων δικηγόρων των διαδίκων, ότι η συγκεκριμένη υπόθεση θα συζητηθεί, χωρίς την εξέταση μα</w:t>
      </w:r>
      <w:r w:rsidRPr="00DB403C">
        <w:rPr>
          <w:rStyle w:val="a4"/>
          <w:b w:val="0"/>
          <w:bCs w:val="0"/>
          <w:color w:val="000000" w:themeColor="text1"/>
          <w:sz w:val="28"/>
          <w:szCs w:val="28"/>
        </w:rPr>
        <w:t>ρτύρων, η  δήλωση δε αυτή κοινοποιείται στη γραμματεία του Ειρηνοδικείου Ιωαννίνων, με τη χρήση ηλεκτρονικής αλληλογραφίας.  Εφόσον όλοι οι διάδικοι έχουν υποβάλει την εν λόγω δήλωση, η υπόθεση θα συζητηθεί με την παρουσία των πληρεξούσιων δικηγόρων των δι</w:t>
      </w:r>
      <w:r w:rsidRPr="00DB403C">
        <w:rPr>
          <w:rStyle w:val="a4"/>
          <w:b w:val="0"/>
          <w:bCs w:val="0"/>
          <w:color w:val="000000" w:themeColor="text1"/>
          <w:sz w:val="28"/>
          <w:szCs w:val="28"/>
        </w:rPr>
        <w:t>αδίκων, χωρίς την εξέταση μαρτύρων.</w:t>
      </w:r>
    </w:p>
    <w:p w14:paraId="1AF52EA7" w14:textId="77777777" w:rsidR="00000000" w:rsidRPr="00DB403C" w:rsidRDefault="00000C86" w:rsidP="00DB403C">
      <w:pPr>
        <w:jc w:val="both"/>
        <w:rPr>
          <w:b/>
          <w:bCs/>
          <w:color w:val="000000" w:themeColor="text1"/>
          <w:sz w:val="28"/>
          <w:szCs w:val="28"/>
        </w:rPr>
      </w:pPr>
      <w:r w:rsidRPr="00DB403C">
        <w:rPr>
          <w:b/>
          <w:bCs/>
          <w:color w:val="000000" w:themeColor="text1"/>
          <w:sz w:val="28"/>
          <w:szCs w:val="28"/>
        </w:rPr>
        <w:t>Επίσης από την 18-1-2021:</w:t>
      </w:r>
    </w:p>
    <w:p w14:paraId="4B0B7FA7" w14:textId="77777777" w:rsidR="00000000" w:rsidRPr="00DB403C" w:rsidRDefault="00000C86" w:rsidP="00DB403C">
      <w:pPr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>Θα δημοσιεύονται ιδιόγραφες διαθήκες, ενώ επίσης θα λαμβάνει χώρα και κήρυξη ιδιόγραφων διαθηκών, ως κυρίων, κατόπιν τηλεφωνικής επικοινωνίας στον αριθμό 2651088759.</w:t>
      </w:r>
    </w:p>
    <w:p w14:paraId="132D1259" w14:textId="77777777" w:rsidR="00000000" w:rsidRPr="00DB403C" w:rsidRDefault="00000C86" w:rsidP="00DB403C">
      <w:pPr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 xml:space="preserve">Θα εκδίδονται διατάξεις </w:t>
      </w:r>
      <w:proofErr w:type="spellStart"/>
      <w:r w:rsidRPr="00DB403C">
        <w:rPr>
          <w:color w:val="000000" w:themeColor="text1"/>
          <w:sz w:val="28"/>
          <w:szCs w:val="28"/>
        </w:rPr>
        <w:t>κληρ</w:t>
      </w:r>
      <w:r w:rsidRPr="00DB403C">
        <w:rPr>
          <w:color w:val="000000" w:themeColor="text1"/>
          <w:sz w:val="28"/>
          <w:szCs w:val="28"/>
        </w:rPr>
        <w:t>ονομητηρίων</w:t>
      </w:r>
      <w:proofErr w:type="spellEnd"/>
      <w:r w:rsidRPr="00DB403C">
        <w:rPr>
          <w:color w:val="000000" w:themeColor="text1"/>
          <w:sz w:val="28"/>
          <w:szCs w:val="28"/>
        </w:rPr>
        <w:t>, κατόπιν τηλεφωνικής επικοινωνίας στον αριθμό 2651088725 και</w:t>
      </w:r>
    </w:p>
    <w:p w14:paraId="43258A4B" w14:textId="77777777" w:rsidR="00000000" w:rsidRPr="00DB403C" w:rsidRDefault="00000C86" w:rsidP="00DB403C">
      <w:pPr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>Θα γίνεται κατάθεση αιτήσεων για έκδοση διαταγών πληρωμής και διαταγών απόδοσης μίσθιου, κατόπιν τηλεφωνικής επικοινωνίας στον αριθμό 2651088761 και</w:t>
      </w:r>
    </w:p>
    <w:p w14:paraId="5A413043" w14:textId="77777777" w:rsidR="00DB403C" w:rsidRPr="00DB403C" w:rsidRDefault="00000C86" w:rsidP="00DB403C">
      <w:pPr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>Θα γίνεται κατάθεση δικογράφων ενδ</w:t>
      </w:r>
      <w:r w:rsidRPr="00DB403C">
        <w:rPr>
          <w:color w:val="000000" w:themeColor="text1"/>
          <w:sz w:val="28"/>
          <w:szCs w:val="28"/>
        </w:rPr>
        <w:t xml:space="preserve">ίκων μέσων, κατόπιν τηλεφωνικής επικοινωνίας στον αριθμό 2651088761. </w:t>
      </w:r>
    </w:p>
    <w:p w14:paraId="69F7E549" w14:textId="5995934F" w:rsidR="00000000" w:rsidRPr="00DB403C" w:rsidRDefault="00000C86" w:rsidP="00DB403C">
      <w:pPr>
        <w:jc w:val="center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>Ιωάννινα  18 Ιανουαρίου 2021</w:t>
      </w:r>
    </w:p>
    <w:p w14:paraId="100F6BD6" w14:textId="11E57021" w:rsidR="00000000" w:rsidRPr="00DB403C" w:rsidRDefault="00000C86" w:rsidP="00DB403C">
      <w:pPr>
        <w:jc w:val="center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>Η  Διευθύνουσα το Ειρηνοδικείο Ιωαννίνων</w:t>
      </w:r>
    </w:p>
    <w:p w14:paraId="3AA89E86" w14:textId="77777777" w:rsidR="00000000" w:rsidRPr="00DB403C" w:rsidRDefault="00000C86" w:rsidP="00DB403C">
      <w:pPr>
        <w:jc w:val="center"/>
        <w:rPr>
          <w:color w:val="000000" w:themeColor="text1"/>
          <w:sz w:val="28"/>
          <w:szCs w:val="28"/>
        </w:rPr>
      </w:pPr>
    </w:p>
    <w:p w14:paraId="71D653D7" w14:textId="2A0B6A25" w:rsidR="00000000" w:rsidRPr="00DB403C" w:rsidRDefault="00000C86" w:rsidP="00DB403C">
      <w:pPr>
        <w:jc w:val="center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>Θεοδώρα Τερζοπούλου</w:t>
      </w:r>
    </w:p>
    <w:p w14:paraId="465B6527" w14:textId="77777777" w:rsidR="00000000" w:rsidRPr="00DB403C" w:rsidRDefault="00000C86" w:rsidP="00DB403C">
      <w:pPr>
        <w:jc w:val="both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 xml:space="preserve">                                                  </w:t>
      </w:r>
    </w:p>
    <w:p w14:paraId="3B44615C" w14:textId="77777777" w:rsidR="00000000" w:rsidRPr="00DB403C" w:rsidRDefault="00000C86" w:rsidP="00DB403C">
      <w:pPr>
        <w:pStyle w:val="3"/>
        <w:spacing w:before="0" w:after="0"/>
        <w:ind w:left="426" w:firstLine="0"/>
        <w:jc w:val="both"/>
        <w:textAlignment w:val="baseline"/>
        <w:rPr>
          <w:b w:val="0"/>
          <w:color w:val="000000" w:themeColor="text1"/>
          <w:sz w:val="28"/>
          <w:szCs w:val="28"/>
        </w:rPr>
      </w:pPr>
    </w:p>
    <w:p w14:paraId="4957D83E" w14:textId="77777777" w:rsidR="00000000" w:rsidRPr="00DB403C" w:rsidRDefault="00000C86" w:rsidP="00DB403C">
      <w:pPr>
        <w:pStyle w:val="3"/>
        <w:spacing w:before="0" w:after="0"/>
        <w:jc w:val="both"/>
        <w:textAlignment w:val="baseline"/>
        <w:rPr>
          <w:b w:val="0"/>
          <w:color w:val="000000" w:themeColor="text1"/>
          <w:sz w:val="28"/>
          <w:szCs w:val="28"/>
        </w:rPr>
      </w:pPr>
    </w:p>
    <w:p w14:paraId="4A0FA9D9" w14:textId="77777777" w:rsidR="00000000" w:rsidRPr="00DB403C" w:rsidRDefault="00000C86" w:rsidP="00DB403C">
      <w:pPr>
        <w:jc w:val="both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 xml:space="preserve"> </w:t>
      </w:r>
    </w:p>
    <w:p w14:paraId="55F3D62D" w14:textId="606FE093" w:rsidR="00000000" w:rsidRPr="00DB403C" w:rsidRDefault="00000C86" w:rsidP="00DB403C">
      <w:pPr>
        <w:pStyle w:val="Web"/>
        <w:spacing w:before="0" w:after="0"/>
        <w:jc w:val="center"/>
        <w:rPr>
          <w:color w:val="000000" w:themeColor="text1"/>
          <w:sz w:val="28"/>
          <w:szCs w:val="28"/>
        </w:rPr>
      </w:pPr>
    </w:p>
    <w:p w14:paraId="066C6F37" w14:textId="77777777" w:rsidR="00000000" w:rsidRPr="00DB403C" w:rsidRDefault="00000C86" w:rsidP="00DB403C">
      <w:pPr>
        <w:jc w:val="both"/>
        <w:rPr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ab/>
      </w:r>
    </w:p>
    <w:p w14:paraId="08F355EB" w14:textId="77777777" w:rsidR="00000000" w:rsidRPr="00DB403C" w:rsidRDefault="00000C86" w:rsidP="00DB403C">
      <w:pPr>
        <w:jc w:val="both"/>
        <w:rPr>
          <w:b/>
          <w:color w:val="000000" w:themeColor="text1"/>
          <w:sz w:val="28"/>
          <w:szCs w:val="28"/>
        </w:rPr>
      </w:pPr>
      <w:r w:rsidRPr="00DB403C">
        <w:rPr>
          <w:color w:val="000000" w:themeColor="text1"/>
          <w:sz w:val="28"/>
          <w:szCs w:val="28"/>
        </w:rPr>
        <w:t xml:space="preserve">                                                  </w:t>
      </w:r>
    </w:p>
    <w:p w14:paraId="7A33D00A" w14:textId="77777777" w:rsidR="00000C86" w:rsidRPr="00DB403C" w:rsidRDefault="00000C86" w:rsidP="00DB403C">
      <w:pPr>
        <w:jc w:val="both"/>
        <w:rPr>
          <w:color w:val="000000" w:themeColor="text1"/>
        </w:rPr>
      </w:pPr>
      <w:r w:rsidRPr="00DB403C">
        <w:rPr>
          <w:b/>
          <w:color w:val="000000" w:themeColor="text1"/>
          <w:sz w:val="28"/>
          <w:szCs w:val="28"/>
        </w:rPr>
        <w:t xml:space="preserve">                                             </w:t>
      </w:r>
    </w:p>
    <w:sectPr w:rsidR="00000C86" w:rsidRPr="00DB403C">
      <w:pgSz w:w="11906" w:h="16838"/>
      <w:pgMar w:top="1440" w:right="1800" w:bottom="1440" w:left="180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272727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272727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3F"/>
    <w:rsid w:val="00000C86"/>
    <w:rsid w:val="00A25E3F"/>
    <w:rsid w:val="00DB403C"/>
    <w:rsid w:val="00DD4DAC"/>
    <w:rsid w:val="00FB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0409F0"/>
  <w15:chartTrackingRefBased/>
  <w15:docId w15:val="{4FD1BB65-56B3-4EBF-B0EA-072201E5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272727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color w:val="272727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1">
    <w:name w:val="Προεπιλεγμένη γραμματοσειρά1"/>
  </w:style>
  <w:style w:type="character" w:styleId="-">
    <w:name w:val="Hyperlink"/>
    <w:rPr>
      <w:color w:val="0000FF"/>
      <w:u w:val="single"/>
    </w:rPr>
  </w:style>
  <w:style w:type="character" w:customStyle="1" w:styleId="-HTMLChar">
    <w:name w:val="Προ-διαμορφωμένο HTML Char"/>
    <w:rPr>
      <w:rFonts w:ascii="Courier New" w:hAnsi="Courier New" w:cs="Courier New"/>
    </w:rPr>
  </w:style>
  <w:style w:type="character" w:customStyle="1" w:styleId="3Char">
    <w:name w:val="Επικεφαλίδα 3 Char"/>
    <w:rPr>
      <w:b/>
      <w:bCs/>
      <w:sz w:val="27"/>
      <w:szCs w:val="27"/>
    </w:rPr>
  </w:style>
  <w:style w:type="character" w:styleId="a4">
    <w:name w:val="Strong"/>
    <w:qFormat/>
    <w:rPr>
      <w:b/>
      <w:bCs/>
    </w:rPr>
  </w:style>
  <w:style w:type="character" w:customStyle="1" w:styleId="2Char">
    <w:name w:val="Επικεφαλίδα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Char">
    <w:name w:val="Επικεφαλίδα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reet-address">
    <w:name w:val="street-address"/>
  </w:style>
  <w:style w:type="character" w:customStyle="1" w:styleId="locality">
    <w:name w:val="locality"/>
  </w:style>
  <w:style w:type="character" w:customStyle="1" w:styleId="sr-only">
    <w:name w:val="sr-only"/>
  </w:style>
  <w:style w:type="paragraph" w:customStyle="1" w:styleId="a5">
    <w:name w:val="Επικεφαλίδα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styleId="-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Web">
    <w:name w:val="Normal (Web)"/>
    <w:basedOn w:val="a"/>
    <w:pPr>
      <w:spacing w:before="280" w:after="280"/>
    </w:pPr>
  </w:style>
  <w:style w:type="paragraph" w:customStyle="1" w:styleId="text-danger">
    <w:name w:val="text-danger"/>
    <w:basedOn w:val="a"/>
    <w:pPr>
      <w:spacing w:before="280" w:after="280"/>
    </w:pPr>
  </w:style>
  <w:style w:type="paragraph" w:customStyle="1" w:styleId="fn">
    <w:name w:val="fn"/>
    <w:basedOn w:val="a"/>
    <w:pPr>
      <w:spacing w:before="280" w:after="280"/>
    </w:pPr>
  </w:style>
  <w:style w:type="paragraph" w:styleId="a8">
    <w:name w:val="List Paragraph"/>
    <w:basedOn w:val="a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 Δ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Δ</dc:title>
  <dc:subject/>
  <dc:creator>USER</dc:creator>
  <cp:keywords/>
  <cp:lastModifiedBy>Maria Naka</cp:lastModifiedBy>
  <cp:revision>3</cp:revision>
  <cp:lastPrinted>2021-01-18T05:36:00Z</cp:lastPrinted>
  <dcterms:created xsi:type="dcterms:W3CDTF">2021-01-18T06:40:00Z</dcterms:created>
  <dcterms:modified xsi:type="dcterms:W3CDTF">2021-01-18T06:41:00Z</dcterms:modified>
</cp:coreProperties>
</file>